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87R1627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Tinderholt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governor's authority to suspend regulatory statutes, orders, and rules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418.004, Government Code, is amended by adding Subdivisions (11-a) and (11-b)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"Regulatory order or rule" means an order or rule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prescribes procedures for conducting state business;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issued or adopted by a state agency in the executive branch of state government with authority to regulate persons engaged in an activity or occupation.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(11-b)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"Regulatory statute" means a statute prescribing the procedures for conducting state business for a state agency in the executive branch of state government with authority to regulate persons engaged in an activity or occupation.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418.012,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418.012.</w:t>
      </w:r>
      <w:r xml:space="preserve">
        <w:t> </w:t>
      </w:r>
      <w:r xml:space="preserve">
        <w:t> </w:t>
      </w:r>
      <w:r>
        <w:t xml:space="preserve">EXECUTIVE ORDERS.  Under this chapter, the governor may</w:t>
      </w:r>
      <w:r>
        <w:rPr>
          <w:u w:val="single"/>
        </w:rPr>
        <w:t xml:space="preserve">, subject to Section 418.016(a),</w:t>
      </w:r>
      <w:r>
        <w:t xml:space="preserve"> issue executive orders, proclamations, and regulations and amend or rescind them. Executive orders, proclamations, and regulations have the force and effect of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418.016(a),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governor may not suspend a provision of a state statute or a state agency order or rule except as specifically authorized by this chapter.</w:t>
      </w:r>
      <w:r>
        <w:t xml:space="preserve"> The governor may suspend the provisions of any regulatory statute [</w:t>
      </w:r>
      <w:r>
        <w:rPr>
          <w:strike/>
        </w:rPr>
        <w:t xml:space="preserve">prescribing the procedures for conduct of state business</w:t>
      </w:r>
      <w:r>
        <w:t xml:space="preserve">] or the </w:t>
      </w:r>
      <w:r>
        <w:rPr>
          <w:u w:val="single"/>
        </w:rPr>
        <w:t xml:space="preserve">regulatory</w:t>
      </w:r>
      <w:r>
        <w:t xml:space="preserve"> orders or rules of a state agency if strict compliance with the provisions, orders, or rules would in any way prevent, hinder, or delay necessary action in coping with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418.025(a),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the governor determines that a disaster can be adequately addressed without invoking all the powers and duties provided by this subchapter, the governor may, by proclamation or executive order, issue a limited purpose disaster declaration invoking only the authority provided by </w:t>
      </w:r>
      <w:r>
        <w:rPr>
          <w:u w:val="single"/>
        </w:rPr>
        <w:t xml:space="preserve">Section</w:t>
      </w:r>
      <w:r>
        <w:t xml:space="preserve"> [</w:t>
      </w:r>
      <w:r>
        <w:rPr>
          <w:strike/>
        </w:rPr>
        <w:t xml:space="preserve">Sections</w:t>
      </w:r>
      <w:r>
        <w:t xml:space="preserve">] 418.016(a) [</w:t>
      </w:r>
      <w:r>
        <w:rPr>
          <w:strike/>
        </w:rPr>
        <w:t xml:space="preserve">and (e)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418.016(e) and 418.019, Government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