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87R3603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3786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comptroller to send, or to require the submission to the comptroller of, certain ad valorem tax-related items electronically.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title, the comptroller may, after providing notice, require a document, payment, notice, report, or other item required to be submitted to the comptroller under this title to be submitted electronically and may send a document, payment, notice, report or other item the comptroller is required to send under this title electronically. The comptroller may adopt rules to administer this subsection, including rules specifying the format of an item electronically submitted to or sent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