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87R3603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3786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comptroller to send, or to require the submission to the comptroller of, certain ad valorem tax-related items electronically.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5.03, Tax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title, the comptroller may, after providing notice, require a document, payment, notice, report, or other item required to be submitted to the comptroller under this title to be submitted electronically and may send a document, payment, notice, report or other item the comptroller is required to send under this title electronically. The comptroller may adopt rules to administer this subsection, including rules specifying the format of an item electronically submitted to or sent by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