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training and education of appraisal review board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5.041, Tax Code, is amended by amending Subsections (b) and (e-1) and adding Subsection (i)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The course must provide at least eight hours of classroom </w:t>
      </w:r>
      <w:r>
        <w:rPr>
          <w:u w:val="single"/>
        </w:rPr>
        <w:t xml:space="preserve">or distance</w:t>
      </w:r>
      <w:r>
        <w:t xml:space="preserve"> training and education.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The course must provide at least four hours of classroom </w:t>
      </w:r>
      <w:r>
        <w:rPr>
          <w:u w:val="single"/>
        </w:rPr>
        <w:t xml:space="preserve">or distance</w:t>
      </w:r>
      <w:r>
        <w:t xml:space="preserve"> training and education.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to implement this section, including rules establishing criteria for course availability and for demonstrating course completion.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3788 was passed by the House on April 20, 2021, by the following vote:</w:t>
      </w:r>
      <w:r xml:space="preserve">
        <w:t> </w:t>
      </w:r>
      <w:r xml:space="preserve">
        <w:t> </w:t>
      </w:r>
      <w:r>
        <w:t xml:space="preserve">Yeas 140,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3788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