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87R10511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et al.</w:t>
      </w:r>
      <w:r xml:space="preserve">
        <w:tab wTab="150" tlc="none" cTlc="0"/>
      </w:r>
      <w:r>
        <w:t xml:space="preserve">H.B.</w:t>
      </w:r>
      <w:r xml:space="preserve">
        <w:t> </w:t>
      </w:r>
      <w:r>
        <w:t xml:space="preserve">No.</w:t>
      </w:r>
      <w:r xml:space="preserve">
        <w:t> </w:t>
      </w:r>
      <w:r>
        <w:t xml:space="preserve">3789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statute of limitations for tampering with certain physical evidence.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w:t>
      </w:r>
      <w:r>
        <w:rPr>
          <w:strike/>
        </w:rPr>
        <w:t xml:space="preserve">or</w:t>
      </w:r>
      <w:r>
        <w:t xml:space="preserve">]</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 </w:t>
      </w:r>
      <w:r>
        <w:rPr>
          <w:u w:val="single"/>
        </w:rPr>
        <w:t xml:space="preserve">or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tampering with physical evidence under Section 37.09(a)(1) or (d)(1), Penal Code,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evidence tampered with is a human corpse, as defined by that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investigation of the offense shows that a reasonable person in the position of the defendant at the time of the commission of the offense would have cause to believe that the evidence tampered with is related to a criminal homicide under Chapter 19,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12.01, Code of Criminal Procedure, as amended by this Act, does not apply to an offense if the prosecution of that offense becomes barred by limitation before the effective date of this Act. The prosecution of that offense remains barred as if this Act had not taken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