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Health &amp; Human Services;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release of a reversionary interest in certain real property by the Health and Human Services Commission and conditions related to that release.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1(a), Chapter 54 (H.B. 2641),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Subsections (b) and (c) of this section and not later than February 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], the Health and Human Services Commission shall execute an appropriate instrument to release and nullify the right of reverter to which the real property described by Section 2 of this Act is subject under the deed filed in the Deed Records of Howard County, Texas, at Volume 795, Pages 141-143.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3, Chapter 54 (H.B. 2641),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real property title to which is held by Cap Rock Holdings, LLC, a Texas limited liability company, is situated in Howard County, Texas, and more particularly described as follows: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ALL BK 75, ORIGINAL TOWN ADDN., CITY OF BIG SPRING, HOWARD COUNTY, TEXAS</w:t>
      </w:r>
    </w:p>
    <w:p w:rsidR="003F3435" w:rsidRDefault="0032493E">
      <w:pPr>
        <w:spacing w:line="480" w:lineRule="auto"/>
        <w:jc w:val="both"/>
      </w:pPr>
      <w:r>
        <w:t xml:space="preserve">[</w:t>
      </w:r>
      <w:r>
        <w:rPr>
          <w:strike/>
        </w:rPr>
        <w:t xml:space="preserve">400 Nolan, Big Spring, TX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Acres 0.257, LT 1 &amp; N/30 of LT 2 BK 31 Original Town 80X140 0535 ACQ 062211 BLK/TRACT 31 0.257 acres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401 Johnson (7-11) Big Spring, TX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Acre 0.321, Lts 11-12 Blk 31 Original Town 100x140 0545 Blk/Tract 31 0.321 acres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Store #508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