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87R5263 BRG-D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Lozano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3802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rates and fees charged by water supply corporations.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49.2122(a-1), Water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(a-1)</w:t>
      </w:r>
      <w:r xml:space="preserve">
        <w:t> </w:t>
      </w:r>
      <w:r xml:space="preserve">
        <w:t> </w:t>
      </w:r>
      <w:r>
        <w:t xml:space="preserve">Notwithstanding Subsection (a), a district </w:t>
      </w:r>
      <w:r>
        <w:rPr>
          <w:u w:val="single"/>
        </w:rPr>
        <w:t xml:space="preserve">or water supply corporation</w:t>
      </w:r>
      <w:r>
        <w:t xml:space="preserve"> that provides nonsubmetered master metered utility service, as defined by Section 13.087(a)(1), to a recreational vehicle park, as defined by Section 13.087(a)(3):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shall determine the rates for that service on the same basis the district </w:t>
      </w:r>
      <w:r>
        <w:rPr>
          <w:u w:val="single"/>
        </w:rPr>
        <w:t xml:space="preserve">or water supply corporation</w:t>
      </w:r>
      <w:r>
        <w:t xml:space="preserve"> uses to determine the rates for other commercial businesses that serve transient customers and receive nonsubmetered master metered utility service from the district </w:t>
      </w:r>
      <w:r>
        <w:rPr>
          <w:u w:val="single"/>
        </w:rPr>
        <w:t xml:space="preserve">or water supply corporation</w:t>
      </w:r>
      <w: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may not charge a person who owns or operates a recreational vehicle park that receives nonsubmetered master metered utility service from the district </w:t>
      </w:r>
      <w:r>
        <w:rPr>
          <w:u w:val="single"/>
        </w:rPr>
        <w:t xml:space="preserve">or water supply corporation</w:t>
      </w:r>
      <w:r>
        <w:t xml:space="preserve"> an administrative fee for the services provided.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3802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