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87R8210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3810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Windstorm Insurance Association to raise premium rates on association policies.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2210.351, Insurance Code, is amended by amending Subsection (d) and adding Subsection (f) to read as follows:</w:t>
      </w:r>
    </w:p>
    <w:p w:rsidR="003F3435" w:rsidRDefault="0032493E">
      <w:pPr>
        <w:spacing w:line="480" w:lineRule="auto"/>
        <w:ind w:firstLine="720"/>
        <w:jc w:val="both"/>
      </w:pPr>
      <w:r>
        <w:t xml:space="preserve">(d)</w:t>
      </w:r>
      <w:r xml:space="preserve">
        <w:t> </w:t>
      </w:r>
      <w:r xml:space="preserve">
        <w:t> </w:t>
      </w:r>
      <w:r>
        <w:t xml:space="preserve">The association may use a rate filed by the association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w:t>
      </w:r>
    </w:p>
    <w:p w:rsidR="003F3435" w:rsidRDefault="0032493E">
      <w:pPr>
        <w:spacing w:line="480" w:lineRule="auto"/>
        <w:ind w:firstLine="1440"/>
        <w:jc w:val="both"/>
      </w:pPr>
      <w:r>
        <w:t xml:space="preserve">(2)</w:t>
      </w:r>
      <w:r xml:space="preserve">
        <w:t> </w:t>
      </w:r>
      <w:r xml:space="preserve">
        <w:t> </w:t>
      </w:r>
      <w:r>
        <w:t xml:space="preserve">the filed rate does not exceed [</w:t>
      </w:r>
      <w:r>
        <w:rPr>
          <w:strike/>
        </w:rPr>
        <w:t xml:space="preserve">105 percent of</w:t>
      </w:r>
      <w:r>
        <w:t xml:space="preserve">] the rate in effect on the date on which the filing is made;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filed rate does not reflect a rate change for an individual rating class that is 10 percent higher than the rate in effect for that rating class on the date on which the filing is made;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commissioner has not disapproved the filing in writing, advising of the reasons for the disapproval and the criteria the association is required to meet to obtain approval.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association may not file a rate under this section that exceeds the rate in effect on the date on which the filing is made unless two-thirds of the board of directors votes to approve the rate.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2210.352, Insurance Code, is amended by amending Subsection (a-1) and adding Subsection (a-3) to read as follows:</w:t>
      </w:r>
    </w:p>
    <w:p w:rsidR="003F3435" w:rsidRDefault="0032493E">
      <w:pPr>
        <w:spacing w:line="480" w:lineRule="auto"/>
        <w:ind w:firstLine="720"/>
        <w:jc w:val="both"/>
      </w:pPr>
      <w:r>
        <w:t xml:space="preserve">(a-1)</w:t>
      </w:r>
      <w:r xml:space="preserve">
        <w:t> </w:t>
      </w:r>
      <w:r xml:space="preserve">
        <w:t> </w:t>
      </w:r>
      <w:r>
        <w:t xml:space="preserve">The association may use a rate filed by the association under this section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filed rate does not exceed [</w:t>
      </w:r>
      <w:r>
        <w:rPr>
          <w:strike/>
        </w:rPr>
        <w:t xml:space="preserve">105 percent of</w:t>
      </w:r>
      <w:r>
        <w:t xml:space="preserve">] the rate used by the association in effect on the date on which the filing is made[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filed rate does not reflect a rate change for an individual rating class that is 10 percent higher than the rate in effect for that rating class on the date on which the filing is made</w:t>
      </w:r>
      <w:r>
        <w:t xml:space="preserv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association may not file a rate under this section that exceeds the rate in effect on the date on which the filing is made unless two-thirds of the board of directors votes to approve the rate.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rate filed by the Texas Windstorm Insurance Association with the Texas Department of Insurance on or after the effective date of this Act.  A rate filed with the Texas Department of Insurance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