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87R6286 TJB-F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 III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3811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ad valorem taxation.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11.27, Tax Code, is amended by amending Subsection (a)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is entitled to an exemption from taxation of the amount of appraised value of </w:t>
      </w:r>
      <w:r>
        <w:rPr>
          <w:u w:val="single"/>
        </w:rPr>
        <w:t xml:space="preserve">real</w:t>
      </w:r>
      <w:r>
        <w:t xml:space="preserve"> [</w:t>
      </w:r>
      <w:r>
        <w:rPr>
          <w:strike/>
        </w:rPr>
        <w:t xml:space="preserve">his</w:t>
      </w:r>
      <w:r>
        <w:t xml:space="preserve">] property </w:t>
      </w:r>
      <w:r>
        <w:rPr>
          <w:u w:val="single"/>
        </w:rPr>
        <w:t xml:space="preserve">owned by the person</w:t>
      </w:r>
      <w:r>
        <w:t xml:space="preserve"> that arises from the installation or construction </w:t>
      </w:r>
      <w:r>
        <w:rPr>
          <w:u w:val="single"/>
        </w:rPr>
        <w:t xml:space="preserve">on the property</w:t>
      </w:r>
      <w:r>
        <w:t xml:space="preserve"> of a solar or wind-powered energy device that is primarily for production and distribution of energy for on-site use.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is entitled to an exemption from taxation of the appraised value of a solar or wind-powered energy device owned by the person that is installed or constructed on real property and is primarily for production and distribution of energy for on-site use regardless of whether the person owns the real property on which the device is installed or constructed.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23.1241(a)(1), Tax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"Dealer" means a person engaged in the business in this state of selling, leasing, or renting heavy equipment.  </w:t>
      </w:r>
      <w:r>
        <w:rPr>
          <w:u w:val="single"/>
        </w:rPr>
        <w:t xml:space="preserve">The term includes a person who leases heavy equipment from another person.</w:t>
      </w:r>
      <w:r>
        <w:t xml:space="preserve">  The term does not include a bank, savings bank, savings and loan association, credit union, or other finance company.  In addition, for purposes of taxation of a person's inventory of heavy equipment in a tax year, the term does not include a person who renders the person's inventory of heavy equipment for taxation in that tax year by filing a rendition statement or property report in accordance with Chapter 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ad valorem taxes imposed for a tax year beginning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