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87R16913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Harris, Clardy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3813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3813: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Clardy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3813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municipalities to impose regulations on amplified sound from certain venues.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may be cited as the Entertainment and Hospitality Revitalization Act of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217, Local Government Code, is amended by adding Subchapter Z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Z. </w:t>
      </w:r>
      <w:r>
        <w:rPr>
          <w:u w:val="single"/>
        </w:rPr>
        <w:t xml:space="preserve"> </w:t>
      </w:r>
      <w:r>
        <w:rPr>
          <w:u w:val="single"/>
        </w:rPr>
        <w:t xml:space="preserve">MISCELLANEOUS PROVISIONS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217.901.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REGULATION OF SOUND FROM CERTAIN VENUES IN CERTAIN MUNICIPALITIES PROHIBITED.  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applies only to a municipality with a population of 750,000 or more that is primarily located in a county with a population of 1.5 million or less.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not adopt or enforce an ordinance that regulates the production of amplified sound from a bar if the sound is produced: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from a loudspeaker or sound amplifier at a level that does not exceed 85 decibels;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any time between the hours of 10 a.m. and 2 a.m.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3813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