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87R12081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impose  regulations on amplified sound from certain venues.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Entertainment and Hospitality Revitalization Act of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217, Local Government Code, is amended by adding Subchapter Z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Z. </w:t>
      </w:r>
      <w:r>
        <w:rPr>
          <w:u w:val="single"/>
        </w:rPr>
        <w:t xml:space="preserve"> </w:t>
      </w:r>
      <w:r>
        <w:rPr>
          <w:u w:val="single"/>
        </w:rPr>
        <w:t xml:space="preserve">MISCELLANEOUS PROVISIONS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217.901.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REGULATION OF SOUND FROM CERTAIN VENUES IN CERTAIN MUNICIPALITIES PROHIBITED.  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municipality with a population of 750,000 or more that is primarily located in a county with a population of 1.5 million or less.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adopt or enforce an ordinance that regulates the production of amplified sound from a bar or live music venue located in a residential area if the sound is produced: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from a loudspeaker or sound amplifier at a level that does not exceed 75 decibels;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any time between the hours of 10 a.m. and 2 a.m.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