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87R11852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Wilson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3827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municipal disannexation of certain areas formerly designated as a census designated place.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G, Chapter 43, Local Government Code, is amended by adding Section 43.149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43.149.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DISANNEXATION OF CERTAIN ANNEXED AREAS FORMERLY DESIGNATED AS CENSUS DESIGNATED PLACE.  (a) This section applies only to an annexed area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contains: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access point to a greenbelt;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least 1,200 single-family homes;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separated from two municipalities other than the municipality in which the area is located only by a highway;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before annexation: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was part of a single census designated place;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was served by a municipal utility district that owned a water treatment and storage facility.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shall disannex an area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water treatment and storage facility described by Subsection (a)(3) was transferred to the municipality during annexation, the municipality shall retain ownership of the facility after disannexation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3827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