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87R11625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3829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conditions under which the comptroller may issue and file a tax lien.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113.002,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not issue and file a tax lien notice for a taxpayer in connection with a tax liability: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taxpayer has exhausted all administrative appeals of the tax liability, including rehearing of a decision on a claim for refund or petition for redetermination, if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comptroller has knowledge that the taxpayer is making a good faith effort to pay the tax liability.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