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87R12162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continuing duties of the state that relate to exculpatory evidence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2.026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2.026.</w:t>
      </w:r>
      <w:r>
        <w:rPr>
          <w:u w:val="single"/>
        </w:rPr>
        <w:t xml:space="preserve"> </w:t>
      </w:r>
      <w:r>
        <w:rPr>
          <w:u w:val="single"/>
        </w:rPr>
        <w:t xml:space="preserve"> </w:t>
      </w:r>
      <w:r>
        <w:rPr>
          <w:u w:val="single"/>
        </w:rPr>
        <w:t xml:space="preserve">CONTINUING DUTY OF STATE TO DISCLOSE EXCULPATORY EVIDENCE.  Regardless of the date the applicable offense was committed, if at any time before, during, or after trial or a plea negotiation the state discovers any exculpatory document, item, or information in the possession, custody, or control of the state, the state shall promptly disclose the existence of the document, item, or information to the defendant or the court.  This duty is in addition to the state's duty to disclose the existence of any additional document, item, or information under Article 39.14(k).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