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home and community support services licensing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142.003(a)(19),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a person that provides home health, hospice, habilitation, or personal assistance services only to persons receiving benefits under: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home and community-based services (HCS) waiver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home living (TxHmL) waiver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STAR + PLUS or other Medicaid managed care program under the program's HCS or TxHmL certification;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 Intellectual and developmental disabilities habilitative specialized services (IHSS)program;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Section 534.152, Government Code; or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