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Anchia</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3849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4,</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requirements for the regulation of state trust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182.502(b), Finance Code, is amended to read as follows:</w:t>
      </w:r>
    </w:p>
    <w:p w:rsidR="003F3435" w:rsidRDefault="0032493E">
      <w:pPr>
        <w:spacing w:line="480" w:lineRule="auto"/>
        <w:ind w:firstLine="720"/>
        <w:jc w:val="both"/>
      </w:pPr>
      <w:r>
        <w:t xml:space="preserve">(b)</w:t>
      </w:r>
      <w:r xml:space="preserve">
        <w:t> </w:t>
      </w:r>
      <w:r xml:space="preserve">
        <w:t> </w:t>
      </w:r>
      <w:r>
        <w:t xml:space="preserve">A trust institution applying to convert into a state trust company may receive a certificate of authority to do business as a state trust company if the banking commissioner finds that:</w:t>
      </w:r>
    </w:p>
    <w:p w:rsidR="003F3435" w:rsidRDefault="0032493E">
      <w:pPr>
        <w:spacing w:line="480" w:lineRule="auto"/>
        <w:ind w:firstLine="1440"/>
        <w:jc w:val="both"/>
      </w:pPr>
      <w:r>
        <w:t xml:space="preserve">(1)</w:t>
      </w:r>
      <w:r xml:space="preserve">
        <w:t> </w:t>
      </w:r>
      <w:r xml:space="preserve">
        <w:t> </w:t>
      </w:r>
      <w:r>
        <w:t xml:space="preserve">the trust institution is not engaging in a pattern or practice of unsafe and unsound fiduciary or banking practices;</w:t>
      </w:r>
    </w:p>
    <w:p w:rsidR="003F3435" w:rsidRDefault="0032493E">
      <w:pPr>
        <w:spacing w:line="480" w:lineRule="auto"/>
        <w:ind w:firstLine="1440"/>
        <w:jc w:val="both"/>
      </w:pPr>
      <w:r>
        <w:t xml:space="preserve">(2)</w:t>
      </w:r>
      <w:r xml:space="preserve">
        <w:t> </w:t>
      </w:r>
      <w:r xml:space="preserve">
        <w:t> </w:t>
      </w:r>
      <w:r>
        <w:t xml:space="preserve">the trust institution has adequate capitalization for a state trust company to act as a fiduciary at the same locations as the trust institution is acting as a fiduciary before the conversion;</w:t>
      </w:r>
    </w:p>
    <w:p w:rsidR="003F3435" w:rsidRDefault="0032493E">
      <w:pPr>
        <w:spacing w:line="480" w:lineRule="auto"/>
        <w:ind w:firstLine="1440"/>
        <w:jc w:val="both"/>
      </w:pPr>
      <w:r>
        <w:t xml:space="preserve">(3)</w:t>
      </w:r>
      <w:r xml:space="preserve">
        <w:t> </w:t>
      </w:r>
      <w:r xml:space="preserve">
        <w:t> </w:t>
      </w:r>
      <w:r>
        <w:t xml:space="preserve">the trust institution can be expected to operate profitably after the conversion;</w:t>
      </w:r>
    </w:p>
    <w:p w:rsidR="003F3435" w:rsidRDefault="0032493E">
      <w:pPr>
        <w:spacing w:line="480" w:lineRule="auto"/>
        <w:ind w:firstLine="1440"/>
        <w:jc w:val="both"/>
      </w:pPr>
      <w:r>
        <w:t xml:space="preserve">(4)</w:t>
      </w:r>
      <w:r xml:space="preserve">
        <w:t> </w:t>
      </w:r>
      <w:r xml:space="preserve">
        <w:t> </w:t>
      </w:r>
      <w:r>
        <w:t xml:space="preserve">the officers and directors of the trust institution as a group have sufficient </w:t>
      </w:r>
      <w:r>
        <w:rPr>
          <w:u w:val="single"/>
        </w:rPr>
        <w:t xml:space="preserve">fiduciary</w:t>
      </w:r>
      <w:r>
        <w:t xml:space="preserve"> [</w:t>
      </w:r>
      <w:r>
        <w:rPr>
          <w:strike/>
        </w:rPr>
        <w:t xml:space="preserve">banking</w:t>
      </w:r>
      <w:r>
        <w:t xml:space="preserve">] experience, ability, standing, competence, trustworthiness, and integrity to justify a belief that the trust institution will operate as a state trust company in compliance with law; and</w:t>
      </w:r>
    </w:p>
    <w:p w:rsidR="003F3435" w:rsidRDefault="0032493E">
      <w:pPr>
        <w:spacing w:line="480" w:lineRule="auto"/>
        <w:ind w:firstLine="1440"/>
        <w:jc w:val="both"/>
      </w:pPr>
      <w:r>
        <w:t xml:space="preserve">(5)</w:t>
      </w:r>
      <w:r xml:space="preserve">
        <w:t> </w:t>
      </w:r>
      <w:r xml:space="preserve">
        <w:t> </w:t>
      </w:r>
      <w:r>
        <w:t xml:space="preserve">each principal shareholder has sufficient experience, ability, standing, competence, trustworthiness, and integrity to justify a belief that the trust institution will be free from improper or unlawful influence or interference with respect to the trust institution's operation as a state trust company in compliance with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184.003(e), Finance Code, is amended to read as follows:</w:t>
      </w:r>
    </w:p>
    <w:p w:rsidR="003F3435" w:rsidRDefault="0032493E">
      <w:pPr>
        <w:spacing w:line="480" w:lineRule="auto"/>
        <w:ind w:firstLine="720"/>
        <w:jc w:val="both"/>
      </w:pPr>
      <w:r>
        <w:t xml:space="preserve">(e)</w:t>
      </w:r>
      <w:r xml:space="preserve">
        <w:t> </w:t>
      </w:r>
      <w:r xml:space="preserve">
        <w:t> </w:t>
      </w:r>
      <w:r>
        <w:t xml:space="preserve">Subject to the exercise of prudent judgment, a state trust company may invest its secondary capital in real property. The factors to be considered by a state trust company in exercise of prudent judgment include the factors contained in Section </w:t>
      </w:r>
      <w:r>
        <w:rPr>
          <w:u w:val="single"/>
        </w:rPr>
        <w:t xml:space="preserve">184.101(e)</w:t>
      </w:r>
      <w:r>
        <w:t xml:space="preserve"> [</w:t>
      </w:r>
      <w:r>
        <w:rPr>
          <w:strike/>
        </w:rPr>
        <w:t xml:space="preserve">184.101(f)</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182.502(b), Finance Code, applies only to an application for conversion filed on or after the effective date of this Act.  An application for conversion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