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Anchia</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3850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state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34.103(c), Finance Code, is amended to read as follows:</w:t>
      </w:r>
    </w:p>
    <w:p w:rsidR="003F3435" w:rsidRDefault="0032493E">
      <w:pPr>
        <w:spacing w:line="480" w:lineRule="auto"/>
        <w:ind w:firstLine="720"/>
        <w:jc w:val="both"/>
      </w:pPr>
      <w:r>
        <w:t xml:space="preserve">(c)</w:t>
      </w:r>
      <w:r xml:space="preserve">
        <w:t> </w:t>
      </w:r>
      <w:r xml:space="preserve">
        <w:t> </w:t>
      </w:r>
      <w:r>
        <w:t xml:space="preserve">A state bank may not establish or acquire a subsidiary or a controlling interest in a subsidiary that engages in activities as principal in which the bank is prohibited from engaging directly unless:</w:t>
      </w:r>
    </w:p>
    <w:p w:rsidR="003F3435" w:rsidRDefault="0032493E">
      <w:pPr>
        <w:spacing w:line="480" w:lineRule="auto"/>
        <w:ind w:firstLine="1440"/>
        <w:jc w:val="both"/>
      </w:pPr>
      <w:r>
        <w:t xml:space="preserve">(1)</w:t>
      </w:r>
      <w:r xml:space="preserve">
        <w:t> </w:t>
      </w:r>
      <w:r xml:space="preserve">
        <w:t> </w:t>
      </w:r>
      <w:r>
        <w:t xml:space="preserve">the state bank's investment in the subsidiary has been </w:t>
      </w:r>
      <w:r>
        <w:rPr>
          <w:u w:val="single"/>
        </w:rPr>
        <w:t xml:space="preserve">allowed</w:t>
      </w:r>
      <w:r>
        <w:t xml:space="preserve"> [</w:t>
      </w:r>
      <w:r>
        <w:rPr>
          <w:strike/>
        </w:rPr>
        <w:t xml:space="preserve">approved</w:t>
      </w:r>
      <w:r>
        <w:t xml:space="preserve">] by the Federal Deposit Insurance Corporation under Section 24, Federal Deposit Insurance Act (12 U.S.C. Section 1831a); or</w:t>
      </w:r>
    </w:p>
    <w:p w:rsidR="003F3435" w:rsidRDefault="0032493E">
      <w:pPr>
        <w:spacing w:line="480" w:lineRule="auto"/>
        <w:ind w:firstLine="1440"/>
        <w:jc w:val="both"/>
      </w:pPr>
      <w:r>
        <w:t xml:space="preserve">(2)</w:t>
      </w:r>
      <w:r xml:space="preserve">
        <w:t> </w:t>
      </w:r>
      <w:r xml:space="preserve">
        <w:t> </w:t>
      </w:r>
      <w:r>
        <w:t xml:space="preserve">with respect to a subsidiary engaged in activities as principal that a national bank may conduct only through a financial subsidiary, including firm underwriting of equity securities other than as permitted by Section 34.101, and not otherwise engaged in activities as principal that are impermissible for a state bank or a financial subsidiary of a national bank, the subsidiary's activities and the bank's investment are in compliance with the restrictions and requirements of Section 46, Federal Deposit Insurance Act (12 U.S.C. Section 1831w).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banking commissioner has grounds to issue a cease and desist order to </w:t>
      </w:r>
      <w:r>
        <w:rPr>
          <w:u w:val="single"/>
        </w:rPr>
        <w:t xml:space="preserve">a current or former</w:t>
      </w:r>
      <w:r>
        <w:t xml:space="preserve"> [</w:t>
      </w:r>
      <w:r>
        <w:rPr>
          <w:strike/>
        </w:rPr>
        <w:t xml:space="preserve">an</w:t>
      </w:r>
      <w:r>
        <w:t xml:space="preserve">] officer, employee, or director of a state bank, or the bank itself acting through an authorized person, if the banking commissioner determines from examination or other credible evidence that the bank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bank's charter or an agreement between the bank or the person and the banking commissioner or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35.002(a), Finance Code, as amended by this Act, applies only to a violation that occurs on or after the effective date of this Act. A violation that occurs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