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3856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administrative penalties imposed by the Texas Animal Health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161.148(a) and (b),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may impose an administrative penalty </w:t>
      </w:r>
      <w:r>
        <w:rPr>
          <w:u w:val="single"/>
        </w:rPr>
        <w:t xml:space="preserve">on</w:t>
      </w:r>
      <w:r>
        <w:t xml:space="preserve"> [</w:t>
      </w:r>
      <w:r>
        <w:rPr>
          <w:strike/>
        </w:rPr>
        <w:t xml:space="preserve">against</w:t>
      </w:r>
      <w:r>
        <w:t xml:space="preserve">] a person who violates </w:t>
      </w:r>
      <w:r>
        <w:rPr>
          <w:u w:val="single"/>
        </w:rPr>
        <w:t xml:space="preserve">this subtitle or</w:t>
      </w:r>
      <w:r>
        <w:t xml:space="preserve"> a rule or order adopted under this subtitle.</w:t>
      </w:r>
    </w:p>
    <w:p w:rsidR="003F3435" w:rsidRDefault="0032493E">
      <w:pPr>
        <w:spacing w:line="480" w:lineRule="auto"/>
        <w:ind w:firstLine="720"/>
        <w:jc w:val="both"/>
      </w:pPr>
      <w:r>
        <w:t xml:space="preserve">(b)</w:t>
      </w:r>
      <w:r xml:space="preserve">
        <w:t> </w:t>
      </w:r>
      <w:r xml:space="preserve">
        <w:t> </w:t>
      </w:r>
      <w:r>
        <w:t xml:space="preserve">The penalty for a violation may be in an amount not to exceed </w:t>
      </w:r>
      <w:r>
        <w:rPr>
          <w:u w:val="single"/>
        </w:rPr>
        <w:t xml:space="preserve">$5,000</w:t>
      </w:r>
      <w:r>
        <w:t xml:space="preserve"> [</w:t>
      </w:r>
      <w:r>
        <w:rPr>
          <w:strike/>
        </w:rPr>
        <w:t xml:space="preserve">$1,000</w:t>
      </w:r>
      <w:r>
        <w:t xml:space="preserve">].  Each day a violation continues or occurs is a separate violation for purposes of imposing a penalty.  The amount of the penalty shall not be based on a per head basis.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violation committed on or after the effective date of this Act.  A violation committed before the effective date of this Act is governed by the law in effect when the violation was committed, and the former law is continued in effect for that purpose.  For purposes of this section, a violation was committed before the effective date of this Act if any element of the violation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3856 was passed by the House on April 30, 2021, by the following vote:</w:t>
      </w:r>
      <w:r xml:space="preserve">
        <w:t> </w:t>
      </w:r>
      <w:r xml:space="preserve">
        <w:t> </w:t>
      </w:r>
      <w:r>
        <w:t xml:space="preserve">Yeas 115, Nays 26,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3856 was passed by the Senate on May 19,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