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87R22147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recommendation for the removal of a member of the board of trustees of a school district by other members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11, Education Code, is amended by adding Section 11.067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11.067.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 FOR REMOVAL OF MEMBER FROM BOARD OF TRUSTEES.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of a school district may adopt by a three-fourths vote a resolution of censure against a member of the board.  A member may be censured based on a finding by the board that the member: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intentionally misused district funds;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repeatedly refused to act in accordance with the laws, regulations, or policies applicable to the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intentionally disclosed confidential information regarding a student;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the member's office in an attempt to influence an employee of the district for the benefit of a student related to the member;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intentionally failed to complete any training required by the State Board of Education or the commissioner;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failed to recuse the member's self from a vote on or deliberation of a matter in which the member has an identifiable conflict of interest;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repeatedly engaged or attempted to engage in a duty related to district personnel or students that the board has expressly delegated to the district's superintendent.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adoption of a resolution of censure under Subsection (a), the board of trustees shall file a written petition for removal of the board member in the district court of the county in which the member resides in accordance with Section 87.015, Local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The board member may be removed from office under the procedure provided by Section 87.018,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