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operating or loading an overweight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621.506, Transportation Code, is amended by adding Subsections (a-1), (d-1), (d-2), and (d-3) and amending Subsections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Criminal responsibility for an offense under this section extends, in the manner authorized by Section 7.22, Penal Code, to a corporation, an association, a limited liability company, or another business entity that employs a person who commits an offense under this section during the course and scope of the person's employment.</w:t>
      </w:r>
    </w:p>
    <w:p w:rsidR="003F3435" w:rsidRDefault="0032493E">
      <w:pPr>
        <w:spacing w:line="480" w:lineRule="auto"/>
        <w:ind w:firstLine="720"/>
        <w:jc w:val="both"/>
      </w:pPr>
      <w:r>
        <w:t xml:space="preserve">(d)</w:t>
      </w:r>
      <w:r xml:space="preserve">
        <w:t> </w:t>
      </w:r>
      <w:r xml:space="preserve">
        <w:t> </w:t>
      </w:r>
      <w:r>
        <w:t xml:space="preserve">A judge or justice shall promptly report to the </w:t>
      </w:r>
      <w:r>
        <w:rPr>
          <w:u w:val="single"/>
        </w:rPr>
        <w:t xml:space="preserve">department and the</w:t>
      </w:r>
      <w:r>
        <w:t xml:space="preserve"> Department of Public Safety each conviction obtained in the judge's or the justice's court under this section.  The </w:t>
      </w:r>
      <w:r>
        <w:rPr>
          <w:u w:val="single"/>
        </w:rPr>
        <w:t xml:space="preserve">department and the</w:t>
      </w:r>
      <w:r>
        <w:t xml:space="preserve"> Department of Public Safety shall keep a record of each conviction reported to it under this subsection.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to a fine assessed on conviction of an offense under this section that is committed by an entity described by Subsection (a-1) or an employee of the entity during the course and scope of the person's employment.  If the fine assessed on conviction of an offense is not paid before the 31st day after the date the fine was assessed, the judge or justice of the convicting court shall promptly report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entity's failure to pay the fine;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subsequently pays the full amount of a fine reported under Subdivision (1), the entity's payment of the fine.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department shall keep a record of each failure to pay and subsequent payment reported to the department under Subsection (d-1).</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department, under Section 623.271 and subject to the notice and hearing requirements applicable to that section, shall revoke each permit issued under this subtitle to an entity described by Subsection (a-1)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receives notice under Subsection (d-1)(1) of the entity's failure to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department receives the notice described by Subdivision (1), the entity has not paid the full amount of two or more fines that were previously reported to the department under Subsection (d-1)(1) and at least two of those fines were not assessed for offenses under this section arising from the same criminal episode.</w:t>
      </w:r>
    </w:p>
    <w:p w:rsidR="003F3435" w:rsidRDefault="0032493E">
      <w:pPr>
        <w:spacing w:line="480" w:lineRule="auto"/>
        <w:ind w:firstLine="720"/>
        <w:jc w:val="both"/>
      </w:pPr>
      <w:r>
        <w:t xml:space="preserve">(e)</w:t>
      </w:r>
      <w:r xml:space="preserve">
        <w:t> </w:t>
      </w:r>
      <w:r xml:space="preserve">
        <w:t> </w:t>
      </w:r>
      <w:r>
        <w:t xml:space="preserve">If </w:t>
      </w:r>
      <w:r>
        <w:rPr>
          <w:u w:val="single"/>
        </w:rPr>
        <w:t xml:space="preserve">an entity described by Subsection (a-1)</w:t>
      </w:r>
      <w:r>
        <w:t xml:space="preserve"> [</w:t>
      </w:r>
      <w:r>
        <w:rPr>
          <w:strike/>
        </w:rPr>
        <w:t xml:space="preserve">a corporation</w:t>
      </w:r>
      <w:r>
        <w:t xml:space="preserve">] fails to pay the fine assessed on conviction of an offense under this section, the district or county attorney in the county in which the conviction occurs may file suit against the </w:t>
      </w:r>
      <w:r>
        <w:rPr>
          <w:u w:val="single"/>
        </w:rPr>
        <w:t xml:space="preserve">entity</w:t>
      </w:r>
      <w:r>
        <w:t xml:space="preserve"> [</w:t>
      </w:r>
      <w:r>
        <w:rPr>
          <w:strike/>
        </w:rPr>
        <w:t xml:space="preserve">corporation</w:t>
      </w:r>
      <w:r>
        <w:t xml:space="preserve">] to collect the fine.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