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87R11621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information contained in the annual financial audit of certain regional transportation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J, Chapter 452, Transportation Code, is amended by adding Section 452.453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452.453.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DISAGGREGATION OF EXPENDITURES BY MUNICIPALITY:  CERTAIN AUTHORITIES.  The subregional board of an authority consisting of one subregion governed by a subregional board created under Subchapter O shall disaggregate expenditures by municipality in a financial audit required under Section 452.451.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