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87R11621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Shaheen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3867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information contained in the annual financial audit of certain regional transportation authorities.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J, Chapter 452, Transportation Code, is amended by adding Section 452.453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452.453.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DISAGGREGATION OF EXPENDITURES BY MUNICIPALITY:  CERTAIN AUTHORITIES.  The subregional board of an authority consisting of one subregion governed by a subregional board created under Subchapter O shall disaggregate expenditures by municipality in a financial audit required under Section 452.451.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