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3868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19,</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fill a vacancy with a substitute elector nominated in accordance with political party rules or named by an independent or write-in candidate for president,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192.004(b), (c), and (d);</w:t>
      </w:r>
    </w:p>
    <w:p w:rsidR="003F3435" w:rsidRDefault="0032493E">
      <w:pPr>
        <w:spacing w:line="480" w:lineRule="auto"/>
        <w:ind w:firstLine="1440"/>
        <w:jc w:val="both"/>
      </w:pPr>
      <w:r>
        <w:t xml:space="preserve">(2)</w:t>
      </w:r>
      <w:r xml:space="preserve">
        <w:t> </w:t>
      </w:r>
      <w:r xml:space="preserve">
        <w:t> </w:t>
      </w:r>
      <w:r>
        <w:t xml:space="preserve">Section 192.006(c); and</w:t>
      </w:r>
    </w:p>
    <w:p w:rsidR="003F3435" w:rsidRDefault="0032493E">
      <w:pPr>
        <w:spacing w:line="480" w:lineRule="auto"/>
        <w:ind w:firstLine="1440"/>
        <w:jc w:val="both"/>
      </w:pPr>
      <w:r>
        <w:t xml:space="preserve">(3)</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