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narrowing the definition of the offense of compelling prostitution.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43.05(a), Penal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43.05.</w:t>
      </w:r>
      <w:r xml:space="preserve">
        <w:t> </w:t>
      </w:r>
      <w:r xml:space="preserve">
        <w:t> </w:t>
      </w:r>
      <w:r>
        <w:t xml:space="preserve">COMPELLING PROSTITUTION.</w:t>
      </w:r>
    </w:p>
    <w:p w:rsidR="003F3435" w:rsidRDefault="0032493E">
      <w:pPr>
        <w:spacing w:line="480" w:lineRule="auto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 knowingly: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causes another by force, threat, coercion, or fraud to commit prostitution</w:t>
      </w:r>
      <w:r>
        <w:rPr>
          <w:u w:val="single"/>
        </w:rPr>
        <w:t xml:space="preserve">.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72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strike/>
        </w:rPr>
        <w:t xml:space="preserve">causes by any means a child younger than 18 years to commit prostitution, regardless of whether the actor knows the age of the child at the time of the offense.</w:t>
      </w:r>
    </w:p>
    <w:p w:rsidR="003F3435" w:rsidRDefault="0032493E">
      <w:pPr>
        <w:spacing w:line="480" w:lineRule="auto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conduct that occurs on or after the effective date of this Act, except that a final conviction for an offense that exists on the effective date of this Act is unaffected by this Act.</w:t>
      </w:r>
    </w:p>
    <w:p w:rsidR="003F3435" w:rsidRDefault="0032493E">
      <w:pPr>
        <w:spacing w:line="480" w:lineRule="auto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