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87R11289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3886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definitions of bullying and harassment and the behavior of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37.001(b)(2), Education Code, is amended to read as follows:</w:t>
      </w:r>
    </w:p>
    <w:p w:rsidR="003F3435" w:rsidRDefault="0032493E">
      <w:pPr>
        <w:spacing w:line="480" w:lineRule="auto"/>
        <w:ind w:firstLine="1440"/>
        <w:jc w:val="both"/>
      </w:pPr>
      <w:r>
        <w:t xml:space="preserve">(2)</w:t>
      </w:r>
      <w:r xml:space="preserve">
        <w:t> </w:t>
      </w:r>
      <w:r xml:space="preserve">
        <w:t> </w:t>
      </w:r>
      <w:r>
        <w:t xml:space="preserve">"Harassment"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means threatening to cause harm or bodily injury to another student, engaging in sexually intimidating conduct, causing physical damage to the property of another student, subjecting another student to physical confinement or restraint, or maliciously taking any action that substantially harms another student's physical or emotional health or safety</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conduct described by Paragraph (A) that is based on the actual or perceived race, color, national origin, sex, disability, sexual orientation, gender identity or expression, religion, or any other distinguishing characteristic of a student or of a person with whom a student associates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37.0832(a)(1),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"Bullying":</w:t>
      </w:r>
    </w:p>
    <w:p w:rsidR="003F3435" w:rsidRDefault="0032493E">
      <w:pPr>
        <w:spacing w:line="480" w:lineRule="auto"/>
        <w:ind w:firstLine="2160"/>
        <w:jc w:val="both"/>
      </w:pPr>
      <w:r>
        <w:t xml:space="preserve">(A)</w:t>
      </w:r>
      <w:r xml:space="preserve">
        <w:t> </w:t>
      </w:r>
      <w:r xml:space="preserve">
        <w:t> </w:t>
      </w:r>
      <w:r>
        <w:t xml:space="preserve">means a single significant act or a pattern of acts by one or more students directed at another student that exploits an imbalance of power and involves engaging in written or verbal expression, expression through electronic means, or physical conduct that satisfies the applicability requirements provided by Subsection (a-1), and that:</w:t>
      </w:r>
    </w:p>
    <w:p w:rsidR="003F3435" w:rsidRDefault="0032493E">
      <w:pPr>
        <w:spacing w:line="480" w:lineRule="auto"/>
        <w:ind w:firstLine="2880"/>
        <w:jc w:val="both"/>
      </w:pPr>
      <w:r>
        <w:t xml:space="preserve">(i)</w:t>
      </w:r>
      <w:r xml:space="preserve">
        <w:t> </w:t>
      </w:r>
      <w:r xml:space="preserve">
        <w:t> </w:t>
      </w:r>
      <w:r>
        <w:t xml:space="preserve">has the effect or will have the effect of physically harming a student, damaging a student's property, or placing a student in reasonable fear of harm to the student's person or of damage to the student's property;</w:t>
      </w:r>
    </w:p>
    <w:p w:rsidR="003F3435" w:rsidRDefault="0032493E">
      <w:pPr>
        <w:spacing w:line="480" w:lineRule="auto"/>
        <w:ind w:firstLine="2880"/>
        <w:jc w:val="both"/>
      </w:pPr>
      <w:r>
        <w:t xml:space="preserve">(ii)</w:t>
      </w:r>
      <w:r xml:space="preserve">
        <w:t> </w:t>
      </w:r>
      <w:r xml:space="preserve">
        <w:t> </w:t>
      </w:r>
      <w:r>
        <w:t xml:space="preserve">is sufficiently severe, persistent, or pervasive enough that the action or threat creates an intimidating, threatening, or abusive educational environment for a student;</w:t>
      </w:r>
    </w:p>
    <w:p w:rsidR="003F3435" w:rsidRDefault="0032493E">
      <w:pPr>
        <w:spacing w:line="480" w:lineRule="auto"/>
        <w:ind w:firstLine="2880"/>
        <w:jc w:val="both"/>
      </w:pPr>
      <w:r>
        <w:t xml:space="preserve">(iii)</w:t>
      </w:r>
      <w:r xml:space="preserve">
        <w:t> </w:t>
      </w:r>
      <w:r xml:space="preserve">
        <w:t> </w:t>
      </w:r>
      <w:r>
        <w:t xml:space="preserve">materially and substantially disrupts the educational process or the orderly operation of a classroom or school; or</w:t>
      </w:r>
    </w:p>
    <w:p w:rsidR="003F3435" w:rsidRDefault="0032493E">
      <w:pPr>
        <w:spacing w:line="480" w:lineRule="auto"/>
        <w:ind w:firstLine="2880"/>
        <w:jc w:val="both"/>
      </w:pPr>
      <w:r>
        <w:t xml:space="preserve">(iv)</w:t>
      </w:r>
      <w:r xml:space="preserve">
        <w:t> </w:t>
      </w:r>
      <w:r xml:space="preserve">
        <w:t> </w:t>
      </w:r>
      <w:r>
        <w:t xml:space="preserve">infringes on the rights of the victim at school; and</w:t>
      </w:r>
    </w:p>
    <w:p w:rsidR="003F3435" w:rsidRDefault="0032493E">
      <w:pPr>
        <w:spacing w:line="480" w:lineRule="auto"/>
        <w:ind w:firstLine="2160"/>
        <w:jc w:val="both"/>
      </w:pPr>
      <w:r>
        <w:t xml:space="preserve">(B)</w:t>
      </w:r>
      <w:r xml:space="preserve">
        <w:t> </w:t>
      </w:r>
      <w:r xml:space="preserve">
        <w:t> </w:t>
      </w:r>
      <w:r>
        <w:t xml:space="preserve">includes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cyberbullying</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conduct described by Paragraph (A) that is based on the actual or perceived race, color, national origin, sex, disability, sexual orientation, gender identity or expression, religion, or any other distinguishing characteristic of a student or of a person with whom a student associates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