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87R10723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resignation of a public school teacher employed under a term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21.210(b),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teacher employed under a term contract may resign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with the consent of the board of trustees or the board's designee, at any other time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 during which a state of emergency or state of disaster has been declared by the governor or the president of the United States or a pandemic has been declared by the World Health Organization: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geographic area in which the school district that employs the teacher is located;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may reasonably be anticipated to impact or jeopardize the teacher's health or well-being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