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87R11089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Shaw, Hinojosa, Bernal, Talarico,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3889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Hernandez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cost for certain public school students of a broadband Internet access program offered by the Texas Education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32.004,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32.004.</w:t>
      </w:r>
      <w:r xml:space="preserve">
        <w:t> </w:t>
      </w:r>
      <w:r xml:space="preserve">
        <w:t> </w:t>
      </w:r>
      <w:r>
        <w:t xml:space="preserve">FEES.  </w:t>
      </w:r>
      <w:r>
        <w:rPr>
          <w:u w:val="single"/>
        </w:rPr>
        <w:t xml:space="preserve">Except as provided by Section 32.037, the</w:t>
      </w:r>
      <w:r>
        <w:t xml:space="preserve"> [</w:t>
      </w:r>
      <w:r>
        <w:rPr>
          <w:strike/>
        </w:rPr>
        <w:t xml:space="preserve">The</w:t>
      </w:r>
      <w:r>
        <w:t xml:space="preserve">] State Board of Education, on the commissioner's recommendation, may establish a reasonable fee for services provided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32, Education Code, is amended by adding Section 32.037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32.037.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BROADBAND INTERNET ACCESS PROGRAM.  (a)  If the agency establishes a program that provides broadband Internet access to public school students, the agency may not require a student who is educationally disadvantaged to pay any fees or costs for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rules as necessary to implement this section.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