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87R22249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3897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3897: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Kuempel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3897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fees levied by municipalities and counties for alcoholic beverage permits and licenses.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11.38, Alcoholic Beverage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fee authorized by Subsection (a) for a permit effective in statute on or after September 1, 2021, may not exceed 10 percent of the fee set by rule for the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61.36, Alcoholic Beverage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fee authorized by Subsection (a) for a license effective in statute on or after September 1, 2021, may not exceed 10 percent of the fee set by rule for the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3897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