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87R16678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Oliverson</w:t>
      </w:r>
      <w:r xml:space="preserve">
        <w:tab wTab="150" tlc="none" cTlc="0"/>
      </w:r>
      <w:r>
        <w:t xml:space="preserve">H.B.</w:t>
      </w:r>
      <w:r xml:space="preserve">
        <w:t> </w:t>
      </w:r>
      <w:r>
        <w:t xml:space="preserve">No.</w:t>
      </w:r>
      <w:r xml:space="preserve">
        <w:t> </w:t>
      </w:r>
      <w:r>
        <w:t xml:space="preserve">3899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3899: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rating plan consequences for automobile insurance for traffic violation charges or convictions.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1953.051(a),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rating plan regarding the writing of automobile insurance [</w:t>
      </w:r>
      <w:r>
        <w:rPr>
          <w:strike/>
        </w:rPr>
        <w:t xml:space="preserve">, other than insurance written under Chapter 2151,</w:t>
      </w:r>
      <w:r>
        <w:t xml:space="preserve">] may [</w:t>
      </w:r>
      <w:r>
        <w:rPr>
          <w:strik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assign a rate consequence to a charge or conviction for a violation of Subtitle C, Title 7, Transportation Code; or</w:t>
      </w:r>
    </w:p>
    <w:p w:rsidR="003F3435" w:rsidRDefault="0032493E">
      <w:pPr>
        <w:spacing w:line="480" w:lineRule="auto"/>
        <w:ind w:firstLine="1440"/>
        <w:jc w:val="both"/>
      </w:pPr>
      <w:r>
        <w:t xml:space="preserve">(2)</w:t>
      </w:r>
      <w:r xml:space="preserve">
        <w:t> </w:t>
      </w:r>
      <w:r xml:space="preserve">
        <w:t> </w:t>
      </w:r>
      <w:r>
        <w:t xml:space="preserve">otherwise cause premiums for automobile insurance to be increased because of a charge or conviction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1953.051, Insurance Code, as amended by this Act, applies only to an insurance policy delivered, issued for delivery, or renewed on or after January 1, 2022. A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