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19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groups or associations that include self-employed individuals to participate in a multiple employer welfare arran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6.201, Insurance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otherwise limited by the Employee Retirement Income Security Act of 1974 (29 U.S.C. Section 1001 et seq.), a multiple employer welfare arrangement may only provide benefit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ive or retired owners, officers, directors, or employees of or partners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articipating employer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na fide groups or associations of employers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beneficiaries of a person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or association is considered a bona fide group or association of employers for the purpose of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up or association has at least one substantial business purpose unrelated to offering and providing health coverage or other employee benefits to its employer-members and their employees, including the purpose of promoting the common business interests of its members or promoting the economic interests of its members in a trade or employer opportunity, regardless of whether the business purpose is a for-profit activ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up or association would be a viable entity in the absence of sponsoring an employee benefit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employer-member of the group or association participating in the group health plan is a person acting directly as an employer of at least one employee who is covered under the plan, which may include a sole proprietor or principal of a business entity and regardless of whether any other person is employed by the sole proprietor or principal of a business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up or association has a formal organizational structure with a governing body and by-laws or other similar indications of forma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nctions and activities of the group or association are controlled by its employer-members, and the group's or association's employer-members that participate in the group health plan control the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r-members have a commonality of interest because the member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in the same trade, industry, line or business, or profess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a principal place of business in the same region that does not extend beyond the boundaries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tropolitan area regardless of whether the metropolitan area includes more than on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