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87R11875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3912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weather emergency preparedness of gas facilities and facilities for providing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86, Natural Resources Code, is amended by adding Section 86.044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86.044.</w:t>
      </w:r>
      <w:r>
        <w:rPr>
          <w:u w:val="single"/>
        </w:rPr>
        <w:t xml:space="preserve"> </w:t>
      </w:r>
      <w:r>
        <w:rPr>
          <w:u w:val="single"/>
        </w:rPr>
        <w:t xml:space="preserve"> </w:t>
      </w:r>
      <w:r>
        <w:rPr>
          <w:u w:val="single"/>
        </w:rPr>
        <w:t xml:space="preserve">WEATHER EMERGENCY PREPAREDNESS.  (a)  The commission by rule shall require an operator of a gas well to implement measures to prepare the well to operate during a weather emergency.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be based on information from the National Weather Service and the Office of the Texas State Climatologist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 weather emergencies;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climate variability;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projected changes in weather.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review and, if necessary, update rules adopted under this section at least once every five years to account for changes in the information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rules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operator of a gas well to implement the required measures at the expense of 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provider to submit to the commission an annual report that shows the costs of implementing the required measures and that the costs were paid out of the operator's net profits.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35, Utilities Code, is amended by adding Section 35.0021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35.0021.</w:t>
      </w:r>
      <w:r>
        <w:rPr>
          <w:u w:val="single"/>
        </w:rPr>
        <w:t xml:space="preserve"> </w:t>
      </w:r>
      <w:r>
        <w:rPr>
          <w:u w:val="single"/>
        </w:rPr>
        <w:t xml:space="preserve"> </w:t>
      </w:r>
      <w:r>
        <w:rPr>
          <w:u w:val="single"/>
        </w:rPr>
        <w:t xml:space="preserve">WEATHER EMERGENCY PREPAREDNESS.  (a) The commission by rule shall require each provider of generation in the ERCOT power region to implement measures to prepare generation facilities to provide adequate electric generation service during a weather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be based on information from the National Weather Service and the Office of the Texas State Climatologist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 weather emergencies;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climate variability;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projected changes in weather.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review and update rules adopted under this section at least once every five years to account for changes in the information described by Subsection (b).</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rules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provider of generation to implement the required measures at the expense of 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provider to submit to the commission an annual report that shows the costs of implementing the required measures and that the costs were paid out of the provider's net profits.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38, Utilities Code, is amended by adding Section 38.074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38.074.</w:t>
      </w:r>
      <w:r>
        <w:rPr>
          <w:u w:val="single"/>
        </w:rPr>
        <w:t xml:space="preserve"> </w:t>
      </w:r>
      <w:r>
        <w:rPr>
          <w:u w:val="single"/>
        </w:rPr>
        <w:t xml:space="preserve"> </w:t>
      </w:r>
      <w:r>
        <w:rPr>
          <w:u w:val="single"/>
        </w:rPr>
        <w:t xml:space="preserve">WEATHER EMERGENCY PREPAREDNESS.  (a)  The commission by rule shall require each electric cooperative, municipally owned utility, and transmission and distribution utility providing transmission or distribution service in the ERCOT power region to implement measures to prepare facilities to maintain service quality and reliability during a weather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be based on information from the National Weather Service and the Office of the Texas State Climatologist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 weather emergencies;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climate variability;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projected changes in weather.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review and update rules adopted under this section at least once every five years to account for changes in the information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conduct a study on possible ways to provide funding for the measures required by the rules for transmission and distribution utilities so that the cost of the measures is not paid by retail customers. The commission shall submit the results of the study to the legislature not later than September 1, 2022. This subsection expires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121.2015, Utilities Code, is amended by amending Subsection (a) and adding Subsections (d), (e), and (f) to read as follows:</w:t>
      </w:r>
    </w:p>
    <w:p w:rsidR="003F3435" w:rsidRDefault="0032493E">
      <w:pPr>
        <w:spacing w:line="480" w:lineRule="auto"/>
        <w:ind w:firstLine="720"/>
        <w:jc w:val="both"/>
      </w:pPr>
      <w:r>
        <w:t xml:space="preserve">(a)</w:t>
      </w:r>
      <w:r xml:space="preserve">
        <w:t> </w:t>
      </w:r>
      <w:r xml:space="preserve">
        <w:t> </w:t>
      </w:r>
      <w:r>
        <w:t xml:space="preserve">The railroad commission shall adopt rules regarding:</w:t>
      </w:r>
    </w:p>
    <w:p w:rsidR="003F3435" w:rsidRDefault="0032493E">
      <w:pPr>
        <w:spacing w:line="480" w:lineRule="auto"/>
        <w:ind w:firstLine="1440"/>
        <w:jc w:val="both"/>
      </w:pPr>
      <w:r>
        <w:t xml:space="preserve">(1)</w:t>
      </w:r>
      <w:r xml:space="preserve">
        <w:t> </w:t>
      </w:r>
      <w:r xml:space="preserve">
        <w:t> </w:t>
      </w:r>
      <w:r>
        <w:t xml:space="preserve">public education and awareness relating to gas pipeline facilities;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community liaison for responding to an emergency relating to a gas pipeline facility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measures gas pipeline facility operators must implement to prepare gas pipeline facilities to maintain service quality and reliability during a weather emergency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rules adopted under Subsection (a)(3) must be based on information from the National Weather Service and the Office of the Texas State Climatologist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 weather emergencies;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climate variability;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projected changes in weather.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review and, if necessary, update rules adopted under Subsection (a)(3) at least once every five years to account for changes in the information described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conduct a study on possible ways to provide funding for the measures required by the rules adopted under Subsection (a)(3) so that the cost of the measures is not paid by retail customers. The commission shall submit the results of the study to the legislature not later than September 1, 2022. This subsection expires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Public Utility Commission of Texas and the Railroad Commission of Texas shall adopt the rules required by this Act not later than January 1, 2022.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