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87R21298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3922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3922:</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3922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provided by health care providers and hospitals to certain patients regarding pharmaceutical manufacturer patient assistance programs for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N, Chapter 531, Government Code, is amended by adding Section 531.509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531.509.</w:t>
      </w:r>
      <w:r>
        <w:rPr>
          <w:u w:val="single"/>
        </w:rPr>
        <w:t xml:space="preserve"> </w:t>
      </w:r>
      <w:r>
        <w:rPr>
          <w:u w:val="single"/>
        </w:rPr>
        <w:t xml:space="preserve"> </w:t>
      </w:r>
      <w:r>
        <w:rPr>
          <w:u w:val="single"/>
        </w:rPr>
        <w:t xml:space="preserve">INFORMATION ON PHARMACEUTICAL MANUFACTURER PATIENT ASSISTANCE PROGRAMS FOR INSULIN.  (a) </w:t>
      </w:r>
      <w:r>
        <w:rPr>
          <w:u w:val="single"/>
        </w:rPr>
        <w:t xml:space="preserve"> </w:t>
      </w:r>
      <w:r>
        <w:rPr>
          <w:u w:val="single"/>
        </w:rPr>
        <w:t xml:space="preserve">This section applies to health care providers and hospitals that receive uncompensated care pool payments from the commission,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federally qualified health centers as defined by 42 U.S.C. Section 1396d(l)(2)(B);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rural health clinics as defined by 42 U.S.C. Section 1396d(l)(1);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physician group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or hospital to which this section applies shall provide to patients who have diabetes and require insulin information regarding the availability of pharmaceutical manufacturer patient assistance programs, including copay cards, that may reduce the cost of insulin to the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