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3927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Transportation;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3927</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temporary motor vehicle tags.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503.0626(a)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w:t>
      </w:r>
      <w:r>
        <w:rPr>
          <w:u w:val="single"/>
        </w:rPr>
        <w:t xml:space="preserve">, manage,</w:t>
      </w:r>
      <w:r>
        <w:t xml:space="preserve"> and maintain a secure, real-time database of information on vehicles to which dealers and converters have affixed temporary tags. [</w:t>
      </w:r>
      <w:r>
        <w:rPr>
          <w:strike/>
        </w:rPr>
        <w:t xml:space="preserve">The database shall be managed by the vehicle titles and registration division of the department.</w:t>
      </w:r>
      <w:r>
        <w:t xml:space="preserve">]</w:t>
      </w:r>
    </w:p>
    <w:p w:rsidR="003F3435" w:rsidRDefault="0032493E">
      <w:pPr>
        <w:spacing w:line="480" w:lineRule="auto"/>
        <w:ind w:firstLine="720"/>
        <w:jc w:val="both"/>
      </w:pPr>
      <w:r>
        <w:t xml:space="preserve">(c)</w:t>
      </w:r>
      <w:r xml:space="preserve">
        <w:t> </w:t>
      </w:r>
      <w:r xml:space="preserve">
        <w:t> </w:t>
      </w:r>
      <w:r>
        <w:t xml:space="preserve">Before a dealer's or converter's temporary tag may be displayed on a vehicle, the dealer or converter must enter into the database through the Internet information on the vehicle and information about the dealer or converter as prescribed by the department.  </w:t>
      </w:r>
      <w:r>
        <w:rPr>
          <w:u w:val="single"/>
        </w:rPr>
        <w:t xml:space="preserve">Except as provided by Section 506.0632(g), the</w:t>
      </w:r>
      <w:r>
        <w:t xml:space="preserve"> [</w:t>
      </w:r>
      <w:r>
        <w:rPr>
          <w:strike/>
        </w:rPr>
        <w:t xml:space="preserve">The</w:t>
      </w:r>
      <w:r>
        <w:t xml:space="preserve">] department may not deny access to the database to any dealer who holds a general distinguishing number issued under this chapter or who is licensed under Chapter 2301, Occupations Code, or to any converter licensed under Chapter 2301,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503.063,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vehicle may be issued and display a buyer's tag without satisfying the inspection requirements of Chapter 548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buyer of the vehicle is not a resident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time of purchase, is not located or required to be titled or registered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be titled and registered in accordance with the laws of the buyer's state of residence;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will be inspected in accordance with the laws of the buyer's state of residence, if the laws of that state require inspection.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503.0631(a)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w:t>
      </w:r>
      <w:r>
        <w:rPr>
          <w:u w:val="single"/>
        </w:rPr>
        <w:t xml:space="preserve">, manage,</w:t>
      </w:r>
      <w:r>
        <w:t xml:space="preserve"> and maintain a secure, real-time database of information on persons to whom temporary buyer's tags are issued that may be used by a law enforcement agency in the same manner that the agency uses vehicle registration information. [</w:t>
      </w:r>
      <w:r>
        <w:rPr>
          <w:strike/>
        </w:rPr>
        <w:t xml:space="preserve">The database shall be managed by the vehicle titles and registration division of the department.</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(d), before a buyer's temporary tag may be displayed on a vehicle, a dealer must enter into the database through the Internet information about the buyer of the vehicle for which the tag was issued as prescribed by the department and generate a vehicle-specific number for the tag as required by Section 503.063(e).  </w:t>
      </w:r>
      <w:r>
        <w:rPr>
          <w:u w:val="single"/>
        </w:rPr>
        <w:t xml:space="preserve">Except as provided by Section 506.0632(g), the</w:t>
      </w:r>
      <w:r>
        <w:t xml:space="preserve"> [</w:t>
      </w:r>
      <w:r>
        <w:rPr>
          <w:strike/>
        </w:rPr>
        <w:t xml:space="preserve">The</w:t>
      </w:r>
      <w:r>
        <w:t xml:space="preserve">] department may not deny access to the database to any dealer who holds a general distinguishing number issued under this chapter or who is licensed under Chapter 2301,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503, Transportation Code, is amended by adding Section 503.0632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503.0632.</w:t>
      </w:r>
      <w:r>
        <w:rPr>
          <w:u w:val="single"/>
        </w:rPr>
        <w:t xml:space="preserve"> </w:t>
      </w:r>
      <w:r>
        <w:rPr>
          <w:u w:val="single"/>
        </w:rPr>
        <w:t xml:space="preserve"> </w:t>
      </w:r>
      <w:r>
        <w:rPr>
          <w:u w:val="single"/>
        </w:rPr>
        <w:t xml:space="preserve">DEPARTMENT REGULATION OF TEMPORARY TAGS AND ACCESS TO TEMPORARY TAG DATABASES.  (a)  The department by rule may establish the maximum number of temporary tags that a dealer or converter may obtain in a calendar year under Section 503.062, 503.0625, or 503.063.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maximum number of temporary tags that the department determines a dealer or converter may obtain under this section must be based on the dealer's or converter's anticipated need for temporary tags, taking into consideration: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dealer's or converter's: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time in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sales data;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expected growth;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expected changes in the dealer's or converter's market;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temporary conditions that may affect sales by the dealer or converter;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department considers relevant.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request of a dealer or converter, the department may authorize additional temporary tags of any type for the dealer or converter if the dealer or converter demonstrates a need for additional temporary tags resulting from business operations, including anticipated need.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department's denial of a request under Subsection (c) may be overturned if a dealer or converter shows by a preponderance of the evidence the need for additional temporary tags.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monitor in real time the number of temporary tags obtained by a dealer or converter;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dealer or converter obtains temporary tags in excess of the number established by the department under Subsection (a), shall immediately: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dealer's or converter's records;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investigate to determine the reason for the excess number of temporary tags obtained, including by consulting with the dealer or converter.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after the review and investigation under Subsection (e)(2) the department determines that a dealer or converter is not compliant with Section 503.038(a)(12), the department shall issue a cease and desist order as provided by Section 2301.802, Occupations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after the review and investigation under Subsection (e)(2) the department determines by clear and convincing evidence that irreparable harm is occurring to the public and to other dealers or converters because a dealer or converter is fraudulently obtaining temporary tags from the temporary tag database, the department may, after giving notice electronically and by certified mail to the dealer or converter, deny access to a temporary tag database to the dealer or converter.  A dealer or converter denied access to a temporary tag database under this subsection may request a hearing on the denial as provided by Subchapter O, Chapter 2301, Occupations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503.067(b)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operate a vehicle that displays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temporary tag in violation of this chapter or Chapter 502;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w:t>
      </w:r>
      <w:r>
        <w:t xml:space="preserve"> [</w:t>
      </w:r>
      <w:r>
        <w:rPr>
          <w:strike/>
        </w:rPr>
        <w:t xml:space="preserve">an</w:t>
      </w:r>
      <w:r>
        <w:t xml:space="preserve">] unauthorized temporary tag.</w:t>
      </w:r>
    </w:p>
    <w:p w:rsidR="003F3435" w:rsidRDefault="0032493E">
      <w:pPr>
        <w:spacing w:line="480" w:lineRule="auto"/>
        <w:ind w:firstLine="720"/>
        <w:jc w:val="both"/>
      </w:pPr>
      <w:r>
        <w:t xml:space="preserve">(d)</w:t>
      </w:r>
      <w:r xml:space="preserve">
        <w:t> </w:t>
      </w:r>
      <w:r xml:space="preserve">
        <w:t> </w:t>
      </w:r>
      <w:r>
        <w:t xml:space="preserve">A person may not sell or distribute a temporary tag or an item represented to be a temporary tag unless the person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dealer issuing the tag in connection with the sale of a vehicle[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printer or distributor engaged in the business of selling temporary tags solely for uses authorized under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