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 Guillen</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3932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2021; May</w:t>
      </w:r>
      <w:r xml:space="preserve">
        <w:t> </w:t>
      </w:r>
      <w:r>
        <w:t xml:space="preserve">12,</w:t>
      </w:r>
      <w:r xml:space="preserve">
        <w:t> </w:t>
      </w:r>
      <w:r>
        <w:t xml:space="preserve">2021, read first time and referred to Committee on Education; May</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 11, Nays 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3932</w:t>
      </w:r>
      <w:r xml:space="preserve">
        <w:tab wTab="150" tlc="none" cTlc="0"/>
      </w:r>
      <w:r>
        <w:t xml:space="preserve">By:</w:t>
      </w:r>
      <w:r xml:space="preserve">
        <w:t> </w:t>
      </w:r>
      <w:r xml:space="preserve">
        <w:t> </w:t>
      </w:r>
      <w:r>
        <w:t xml:space="preserve">Menéndez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State Advisory Council on Educational Opportunity for Military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Advisory Council" means the State Advisory Council on Educational Opportunity for Military Children established under Section 162.006.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162, Education Code, is amended by adding Section 162.006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162.006.</w:t>
      </w:r>
      <w:r>
        <w:rPr>
          <w:u w:val="single"/>
        </w:rPr>
        <w:t xml:space="preserve"> </w:t>
      </w:r>
      <w:r>
        <w:rPr>
          <w:u w:val="single"/>
        </w:rPr>
        <w:t xml:space="preserve"> </w:t>
      </w:r>
      <w:r>
        <w:rPr>
          <w:u w:val="single"/>
        </w:rPr>
        <w:t xml:space="preserve">STATE ADVISORY COUNCIL AND COORDINATION.  (a) </w:t>
      </w:r>
      <w:r>
        <w:rPr>
          <w:u w:val="single"/>
        </w:rPr>
        <w:t xml:space="preserve"> </w:t>
      </w:r>
      <w:r>
        <w:rPr>
          <w:u w:val="single"/>
        </w:rPr>
        <w:t xml:space="preserve">The compact commissioner, in coordination with the Texas Education Agency, shall establish the State Advisory Council on Educational Opportunity for Military Children to provide for coordination among state agencies, school districts, and military installations concerning the state's participation in and compliance with the compact and compact activities, as required by Article VIII of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Advisory Council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of education or the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superintendent of a school district with a high concentration of military children designated by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senate committee on education or the chair's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house of representatives committee on public education or the chair's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from each branch of the armed services of the United States that maintains an installation in the state, appointed by each respective branch;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representatives of other offices and stakeholder groups the agency deems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State Advisory Council may delegate voting authority to another person for a specified meeting or meetings.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Meetings of the State Advisory Council may be conducted face-to-face or by telephone or other means of telecommunication or electronic communication.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Advisory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at least quarterly;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State Advisory Council meeting dates, agendas, minutes, end-of-year reports, and other documentation as required to the Military Interstate Children's Compact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Advisory Council shall perform each function or duty required or authorized under Article VIII of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Advisory Council shall establish policies and procedures governing the State Advisory Council's operations.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Advisory Council is a governmental body for purposes of Chapter 551,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162.005, Education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