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3934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punishment for certain conduct constituting the criminal offense of aggravated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SECTIONA1.AA(a)</w:t>
      </w:r>
      <w:r xml:space="preserve">
        <w:t> </w:t>
      </w:r>
      <w:r xml:space="preserve">
        <w:t> </w:t>
      </w:r>
      <w:r>
        <w:t xml:space="preserve">This Act may be cited as the Todd-Hogland Act.</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w:t>
      </w:r>
      <w:r>
        <w:rPr>
          <w:u w:val="single"/>
        </w:rPr>
        <w:t xml:space="preserve">another, including the person's spouse</w:t>
      </w:r>
      <w:r>
        <w:t xml:space="preserve"> [</w:t>
      </w:r>
      <w:r>
        <w:rPr>
          <w:strike/>
        </w:rPr>
        <w:t xml:space="preserve">a person whose relationship to or association with the defendant is described by Section 71.0021(b), 71.003, or 71.005, Family Code</w:t>
      </w:r>
      <w:r>
        <w:t xml:space="preserv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