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87R5688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w:t>
      </w:r>
      <w:r xml:space="preserve">
        <w:tab wTab="150" tlc="none" cTlc="0"/>
      </w:r>
      <w:r>
        <w:t xml:space="preserve">H.B.</w:t>
      </w:r>
      <w:r xml:space="preserve">
        <w:t> </w:t>
      </w:r>
      <w:r>
        <w:t xml:space="preserve">No.</w:t>
      </w:r>
      <w:r xml:space="preserve">
        <w:t> </w:t>
      </w:r>
      <w:r>
        <w:t xml:space="preserve">3935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distribution of municipal sales and use tax revenue to a municipality that reduces the funding allocated to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321, Tax Code, is amended by adding Section 321.5025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321.5025.</w:t>
      </w:r>
      <w:r>
        <w:rPr>
          <w:u w:val="single"/>
        </w:rPr>
        <w:t xml:space="preserve"> </w:t>
      </w:r>
      <w:r>
        <w:rPr>
          <w:u w:val="single"/>
        </w:rPr>
        <w:t xml:space="preserve"> </w:t>
      </w:r>
      <w:r>
        <w:rPr>
          <w:u w:val="single"/>
        </w:rPr>
        <w:t xml:space="preserve">DISTRIBUTION OF TRUST FUNDS TO DEFUNDING MUNICIPALITIES.  (a)  For purposes of this section, "defunding municipality" means a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adopts a budget for a fiscal year that, compared to the budget adopted by the municipality for the preceding fiscal year, reduces the total amount of funding for use by the municipality's law enforcement agency, adjusted for inflation;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criminal justice division of the governor's office issues a written determination finding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municipality has taken the action described by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action creates a public safety hazard that requires the state to intervene and provide additional law enforcement services for the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321.502, the comptroller may not, before July 1 of each state fiscal year, send to a defunding municipality its share of the taxes collected by the comptroller under this chapter during the state fiscal year.  Before sending the municipality its share of the taxes, the comptroller shall deduct 150 percent of the amount reported to the comptroller for the municipality under Subsection (c) and credit that deducted amount to the general revenue fund.  Money credited to the general revenue fund under this subsection may be appropriated only to the Department of Public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August 1 of each state fiscal year, the criminal justice division of the governor's office shall report to the comptroller for each defunding municipality the amount of money the state spent in that state fiscal year to provide law enforcement services in that defunding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is no longer considered to be a defunding municipality for purposes of this section when the criminal justice division of the governor's office issues a written determination finding that the municipality has adopted a budget that reverses the funding reductions, adjusted for inflation.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criminal justice division of the governor's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compute the inflation rate used to make determinations under this section each state fiscal year using a price index that accurately reports changes in the purchasing power of the dollar for municipalities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inflation rate in the Texas Register.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distribution of municipal sales and use tax revenue to a municipality under Subchapter F, Chapter 321, Tax Code, in a state fiscal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321.5025(a)(1), Tax Code, as added by this Act, in determining whether a municipality is a defunding municipality for purposes of the distribution of municipal sales and use tax revenue during the 2022 state fiscal year, the criminal justice division of the governor's office shall compare the applicable level of funding in the budget adopted by the municipality for the municipality's 2021 fiscal year to the applicable level of funding in the budget adopted by the municipality for the municipality's 2020 or 2019 fiscal year, whichever is greater.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