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87R17663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3949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3949:</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3949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Transportation to sell a portion of a state highway to an airport, inland port, or seaport.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202, Transportation Code, is amended by adding Section 202.034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202.034.</w:t>
      </w:r>
      <w:r>
        <w:rPr>
          <w:u w:val="single"/>
        </w:rPr>
        <w:t xml:space="preserve"> </w:t>
      </w:r>
      <w:r>
        <w:rPr>
          <w:u w:val="single"/>
        </w:rPr>
        <w:t xml:space="preserve"> </w:t>
      </w:r>
      <w:r>
        <w:rPr>
          <w:u w:val="single"/>
        </w:rPr>
        <w:t xml:space="preserve">SALE OF STATE HIGHWAY TO AIRPORT, INLAND PORT, OR SEAPORT.  (a)  Notwithstanding other law, the department may enter into an agreement to sell a portion of a state highway that abuts an airport, inland port, or seaport to the owner or operator of the airport, inland port, or seaport.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to sell real property under this section must provide for assumption of responsibility for maintenance of the property by the entity that acquires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determine the fair value of the state's interest in real property to be sold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authorize the executive director to execute a deed conveying the state's interest in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sell the state's interest in the real property for an amount less than the amount determined under Subsection (c)(1).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Revenue from the sale of property under this section shall be deposited to the credit of the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