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87R8831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property owner's associations and condominium associations to be registered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Property Code, is amended by adding Section 81.0031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ASSOCIATION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"condominium association" means a unit owner's association of a condominium regime.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association shall annually register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registration must include the names and contact information of members of the governing body of the condominium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association may not collect association dues or fees unless the condominium association is registered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82, Property Code, is amended by adding Section 82.009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ASSOCIATION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"condominium association" means a unit owner's association of a condominium regime.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association shall annually register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registration must include the names and contact information of members of the board of the condominium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association may not collect association dues or fees unless the condominium association is registered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209, Property Code, is amended by adding Section 209.0031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209.0031.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ASSOCIATION REQUIRED.  (a)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owner's association shall annually register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registration must include the names and contact information of members of the board of the property owner's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owner's association may not collect association assessments unless the association is registered with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secretary of state shall adopt rules necessary to implement Sections 81.0031, 82.009, and 209.0031, Property Code, as added by this Act, not later than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Except as provided by Subsection (b) of this section, this Act takes effect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4 of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