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3953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open burn pit registry fund and a voluntary contribution to that fund when applying for a handgun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411, Government Code, is amended by adding Section 411.1742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411.1742.</w:t>
      </w:r>
      <w:r>
        <w:rPr>
          <w:u w:val="single"/>
        </w:rPr>
        <w:t xml:space="preserve"> </w:t>
      </w:r>
      <w:r>
        <w:rPr>
          <w:u w:val="single"/>
        </w:rPr>
        <w:t xml:space="preserve"> </w:t>
      </w:r>
      <w:r>
        <w:rPr>
          <w:u w:val="single"/>
        </w:rPr>
        <w:t xml:space="preserve">VOLUNTARY CONTRIBUTION TO OPEN BURN PIT REGISTRY FUND.  (a) When a person applies for an original or renewal license to carry a handgun under this subchapter, the person may make a voluntary contribution in any amount to the open burn pit registry fund established by Section 99.008,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space on the first page of each application for an original or renewal license to carry a handgun that allows a person applying for an original or renewal license to carry a handgun to indicate the amount that the person is voluntarily contributing to the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opportunity for the person to contribute to the fund during the application process for an original or renewal license to carry a handgun on the department's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send any contribution made under this section to the comptroller for deposit in the state treasury to the credit of the open burn pit registry fund not later than the 14th day of each month. Before sending the money to the fund, the department may deduct money equal to the amount of reasonable expenses for administering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99, Health and Safety Code, as added by Chapter 153 (H.B. 306), Acts of the 86th Legislature, Regular Session, 2019, is amended by adding Section 99.008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99.008.</w:t>
      </w:r>
      <w:r>
        <w:rPr>
          <w:u w:val="single"/>
        </w:rPr>
        <w:t xml:space="preserve"> </w:t>
      </w:r>
      <w:r>
        <w:rPr>
          <w:u w:val="single"/>
        </w:rPr>
        <w:t xml:space="preserve"> </w:t>
      </w:r>
      <w:r>
        <w:rPr>
          <w:u w:val="single"/>
        </w:rPr>
        <w:t xml:space="preserve">OPEN BURN PIT REGISTRY FUND.  (a) The open burn pit registry fund is a special fund in the state treasury outside the general revenue fund. The fund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to the fund at the direction of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and grants contributed to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money deposited to the credit of the fund under Section 411.1742,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fund may be appropriated only to the department. The department may use the money only for the purpose of creating and maintaining the open burn pit registry established under Section 99.003, except that the department may use the money for any other purpose consistent with appropriation if the department finds that contributions exceed the amount necessary for adequately funding the open burn pit registry.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Department of Public Safety shall modify the application form for a license to carry a handgun to satisfy the requirement of Section 411.1742,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