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87R17146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most populous county adjacent to a county described by Subdivision (2)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by order may impose an additional fee for a vehicle registered in the county. Except as provided by Subsection (b-1), the fee may not exceed $10.  </w:t>
      </w:r>
      <w:r>
        <w:rPr>
          <w:u w:val="single"/>
        </w:rPr>
        <w:t xml:space="preserve">In a county described by Subsection (a)(3), the fee must be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