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87R14237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optional county fee on vehicle registration in certain counties to be used for transportation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502.402(a),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borders the United Mexican States;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250,000;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that has a population of more than 1.5 million that is coterminous with a regional mobility authority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most populous county adjacent to a county described by Subdivision (2)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