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87R11984 SRA-D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Spiller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3961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required posting of information regarding the office of the state long-term care ombudsman on certain long-term care facilities' Internet websites.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Subtitle B, Title 4, Health and Safety Code, is amended by adding Chapter 260C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CHAPTER 260C. POSTING OF OFFICE OF STATE LONG-TERM CARE OMBUDSMAN INFORMATION BY CERTAIN FACILITIES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260C.001.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"long-term care facility" means: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nursing facility licensed under Chapter 242;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assisted living facility licensed under Chapter 247; or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other facility under the jurisdiction of the state long-term care ombudsman established under Subchapter F, Chapter 101A, Human Resources Code.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260C.002.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POSTING OF OFFICE OF STATE LONG-TERM CARE OMBUDSMAN INFORMATION ON INTERNET WEBSITE. </w:t>
      </w:r>
      <w:r>
        <w:rPr>
          <w:u w:val="single"/>
        </w:rPr>
        <w:t xml:space="preserve"> </w:t>
      </w:r>
      <w:r>
        <w:rPr>
          <w:u w:val="single"/>
        </w:rPr>
        <w:t xml:space="preserve">A long-term care facility shall post on the facility's Internet website information about the office of the state long-term care ombudsman established under Subchapter F, Chapter 101A, Human Resources Code, including information regarding the office's: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role in regulating the facility;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contact information.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3961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