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28,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Health &amp; Human Services;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required posting of information regarding the office of the state long-term care ombudsman on certain long-term care facilities' Internet websites.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Health and Safety Code, is amended by adding Chapter 260C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260C. POSTING OF OFFICE OF STATE LONG-TERM CARE OMBUDSMAN INFORMATION BY CERTAIN FACILITIES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"long-term care facility"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nursing facility licensed under Chapter 242;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assisted living facility licensed under Chapter 247;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facility providing care to residents who are assisted by the state long-term care ombudsman established under Subchapter F, Chapter 101A, Human Resources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OFFICE OF STATE LONG-TERM CARE OMBUDSMAN INFORMATION ON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long-term care facility shall post on the facility's Internet website information about the office of the state long-term care ombudsman established under Subchapter F, Chapter 101A, Human Resources Code,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the office's role as an advocate for residents of long-term care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office's statewide toll-free telephone number.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long-term care facility: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comply with this section by posting the required information on the Internet website of the facility's parent company if the facility does not maintain a unique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comply with this section if the facility and any parent company do not maintain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