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87R20449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3969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3969: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3969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consideration by an insurer of certain insurers' filed rates and factors in setting the insurer's rates.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2251.052, Insurance Code, is amended by adding Subsections (f), (g), and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1953.051(a), in setting rates, an insurer writing personal or commercial automobile insurance may include in a filing made under this chapter any rating rule, rate variable, or rate classification that a county mutual insurance company has filed and implemented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insurer that files a rating rule, rate variable, or rate classification under Subsection (f)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indicate in the insurer's rate filing that the insurer is filing the rating rule, rate variable, or rate classification under Subsection (f);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reflect any cost savings realized by filing the rating rule, rate variable, or rate classification under Subsection (f) in the insurer's filing.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Subsections (f) and (g) may not be construed to affect any law relating to the confidentiality or public disclosure of rate filings or of the department's review of rate filings.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2251.052(f), (g), and (h), Insurance Code, as added by this Act, apply only to a rate filed with the commissioner of insurance under Chapter 2251, Insurance Code,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3969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