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87R19320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3971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residential real property located in a designated historic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subsection, "designated historic district"</w:t>
      </w:r>
      <w:r>
        <w:rPr>
          <w:u w:val="single"/>
        </w:rPr>
        <w:t xml:space="preserve"> </w:t>
      </w:r>
      <w:r>
        <w:rPr>
          <w:u w:val="single"/>
        </w:rPr>
        <w:t xml:space="preserve">means an area that is zoned or otherwise designated as a historic district under municipal, state, or federal law. </w:t>
      </w:r>
      <w:r>
        <w:rPr>
          <w:u w:val="single"/>
        </w:rPr>
        <w:t xml:space="preserve"> </w:t>
      </w:r>
      <w:r>
        <w:rPr>
          <w:u w:val="single"/>
        </w:rPr>
        <w:t xml:space="preserve">In determining the market value of residential real property located in a designated historic district, the chief appraiser shall consider the effect on the property's value of any restriction placed by the historic district on the property owner's ability to alter, improve, or repair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appraisal for ad valorem tax purposes of residential real property only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