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87R12423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3971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residential real property located in a designated historic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the market value of residential real property located in a designated historic district, the chief appraiser shall consider the effect on the property's value of any restriction placed by the historic district on the property owner's ability to alter, improve, or repair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appraisal for ad valorem tax purposes of residential real property only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