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3972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person obtaining a surety bond before filing a suit against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36, Water Code, is amended by adding Section 36.2515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36.2515.</w:t>
      </w:r>
      <w:r>
        <w:rPr>
          <w:u w:val="single"/>
        </w:rPr>
        <w:t xml:space="preserve"> </w:t>
      </w:r>
      <w:r>
        <w:rPr>
          <w:u w:val="single"/>
        </w:rPr>
        <w:t xml:space="preserve"> </w:t>
      </w:r>
      <w:r>
        <w:rPr>
          <w:u w:val="single"/>
        </w:rPr>
        <w:t xml:space="preserve">SURETY BOND REQUIRED.  (a) A person shall obtain a surety bond before filing a suit under Section 36.251. The surety bond must cover all legal costs associated with the suit,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that may be incurred by the district and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of a hearing before the State Office of Administrative Hearings if requested.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shall be filed with the clerk of the district court in which the suit is filed pursuant to Section 36.251.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appeal is taken from a decision of the district court affirming the district's decision to issue the permit, the person bringing that appeal shall increase the amount of the bond to cover the following additional costs: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actual costs incurred by the district and the applicant in the district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estimated costs that may be incurred by the district and the applicant if appeal is taken: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to the court of appeals, and</w:t>
      </w:r>
    </w:p>
    <w:p w:rsidR="003F3435" w:rsidRDefault="0032493E">
      <w:pPr>
        <w:spacing w:line="480" w:lineRule="auto"/>
        <w:ind w:firstLine="2160"/>
        <w:jc w:val="both"/>
      </w:pPr>
      <w:r>
        <w:rPr>
          <w:u w:val="single"/>
        </w:rPr>
        <w:t xml:space="preserve">(ii)</w:t>
      </w:r>
      <w:r>
        <w:rPr>
          <w:u w:val="single"/>
        </w:rPr>
        <w:t xml:space="preserve"> </w:t>
      </w:r>
      <w:r>
        <w:rPr>
          <w:u w:val="single"/>
        </w:rPr>
        <w:t xml:space="preserve"> </w:t>
      </w:r>
      <w:r>
        <w:rPr>
          <w:u w:val="single"/>
        </w:rPr>
        <w:t xml:space="preserve">to the supreme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on appeal, the person challenging the issuance of the permit prevails in the final decision, the district court clerk shall return the bond to the person posting it upon receipt of an order from the court authorizing its release.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suit against a groundwater conservation district that is filed on or after the effective date of this Act. A suit against a groundwater conservation district that is filed before the effective date of this Act is governed by the law in effect on the date the suit is filed,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