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87R18960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 Leach, Metcalf, Bonnen, Parker,</w:t>
      </w:r>
      <w:r xml:space="preserve">
        <w:tab wTab="150" tlc="none" cTlc="0"/>
      </w:r>
      <w:r>
        <w:t xml:space="preserve">H.B.</w:t>
      </w:r>
      <w:r xml:space="preserve">
        <w:t> </w:t>
      </w:r>
      <w:r>
        <w:t xml:space="preserve">No.</w:t>
      </w:r>
      <w:r xml:space="preserve">
        <w:t> </w:t>
      </w:r>
      <w:r>
        <w:t xml:space="preserve">3979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3979:</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3979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social studies curriculum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Subsections (h-2), (h-3), and (h-4) to read as follows: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adopting the essential knowledge and skills for the social studies curriculum, the State Board of Education shall adopt essential knowledge and skills that develop each student's civic knowledge, including an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fundamental moral, political, and intellectual foundations of the American experiment in self-government;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qualities, traditions, and features of civic engagement in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structure, function, and processes of government institutions at the federal, state, and local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founding documents of the United States,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Declaration of Independence;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United States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Federalist Papers, including Essays 10 and 51;</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excerpts from Alexis de Tocqueville's Democracy in America;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transcript of the first Lincoln-Douglas debate;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writings of the founding fathers of the United States.</w:t>
      </w:r>
    </w:p>
    <w:p w:rsidR="003F3435" w:rsidRDefault="0032493E">
      <w:pPr>
        <w:spacing w:line="480" w:lineRule="auto"/>
        <w:ind w:firstLine="720"/>
        <w:jc w:val="both"/>
      </w:pPr>
      <w:r>
        <w:rPr>
          <w:u w:val="single"/>
        </w:rPr>
        <w:t xml:space="preserve">(h-3)</w:t>
      </w:r>
      <w:r>
        <w:rPr>
          <w:u w:val="single"/>
        </w:rPr>
        <w:t xml:space="preserve"> </w:t>
      </w:r>
      <w:r>
        <w:rPr>
          <w:u w:val="single"/>
        </w:rPr>
        <w:t xml:space="preserve"> </w:t>
      </w:r>
      <w:r>
        <w:rPr>
          <w:u w:val="single"/>
        </w:rPr>
        <w:t xml:space="preserve">For courses in the social studies curriculum in Texas history, United States history, world history, government, civics, social studies, or other similar subjects: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teacher may not be compelled to discuss current events or widely debated and currently controversial issues of public policy or social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teacher who chooses to discuss topics described by Subdivision (1) shall, to the best of the teacher's ability, strive to explore those topics from diverse and contending perspectives without giving deference to any one perspective;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open-enrollment charter school, or teacher may not require, make part of a course, or award a grade or course credit, including extra credit, for a student's: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work for, affiliation with, or service learning in association with any organization engaged in:</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lobbying for legislation at the federal, state, or local level;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social or public policy advocacy;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political activism, lobbying, or efforts to persuade members of the legislative or executive branch at the federal, state, or local level to take specific actions by direct communication;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participation in any practicum or similar activity involving social or public policy advocacy;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teacher, administrator, or other employee of a state agency, school district, or open-enrollment charter school 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required to engage in training, orientation, or therapy that presents any form of race or sex stereotyping or blame on the basis of race or sex;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or make part of a course the concept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one race or sex is inherently superior to another race or sex;</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by virtue of the individual's race or sex, is inherently racist, sexist, or oppressive, whether consciously or unconsciously;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individual should be discriminated against or receive adverse treatment solely or partly because of the individual's race or sex;</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members of one race or sex cannot and should not attempt to treat others without respect to race or sex;</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an individual's moral character is necessarily determined by the individual's race or sex;</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an individual, by virtue of the individual's race or sex, bears responsibility for actions committed in the past by other members of the same race or sex;</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an individual should feel discomfort, guilt, anguish, or any other form of psychological distress on account of the individual's race or sex; or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meritocracy or traits such as a hard work ethic are racist or sexist or were created by members of a particular race to oppress members of another race.</w:t>
      </w:r>
    </w:p>
    <w:p w:rsidR="003F3435" w:rsidRDefault="0032493E">
      <w:pPr>
        <w:spacing w:line="480" w:lineRule="auto"/>
        <w:ind w:firstLine="720"/>
        <w:jc w:val="both"/>
      </w:pPr>
      <w:r>
        <w:rPr>
          <w:u w:val="single"/>
        </w:rPr>
        <w:t xml:space="preserve">(h-4)</w:t>
      </w:r>
      <w:r>
        <w:rPr>
          <w:u w:val="single"/>
        </w:rPr>
        <w:t xml:space="preserve"> </w:t>
      </w:r>
      <w:r>
        <w:rPr>
          <w:u w:val="single"/>
        </w:rPr>
        <w:t xml:space="preserve"> </w:t>
      </w:r>
      <w:r>
        <w:rPr>
          <w:u w:val="single"/>
        </w:rPr>
        <w:t xml:space="preserve">A state agency, school district, or open-enrollment charter school may not accept private funding for the purpose of developing a curriculum, purchasing or selecting curriculum materials, or providing teacher training or professional development for a course described by Subsection (h-3).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Except as provided by Subsection (b) of this section,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28.002(h-2),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31, 2022, the State Board of Education shall review and revise, as needed, the essential knowledge and skills of the social studies curriculum as required by Section 28.002(h-2),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