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87R11453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health facility's removal of medical equipment from a deceased individual's body before transfer to a funeral director; authorizing an administrative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4, Health and Safety Code, is amended by adding Subtitle H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SUBTITLE H. MISCELLANEOUS PROVISIONS RELATED TO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HEALTH FACILITIES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331. GENERAL DUTIES OF HEALTH FACILITIES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331.001.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REMOVAL OF MEDICAL EQUIPMENT FROM DECEASED INDIVIDUAL; ADMINISTRATIVE PENALTY. (a)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facility" means a facility licensed under Subtitle B.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"Funeral director" has the meaning assigned by Section 651.001, Occupations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"Medical equipment" means an instrument, apparatus, implement, machine, contrivance, or other article, other than an implant, that is used in the treatment, monitoring, or diagnosis of a patient,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bandages;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catheters;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cannulae;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defibrillator pads;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drains;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endotracheal tubes;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feeding tubes;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intravascular lines.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individual dies in a health facility, the facility shall remove all medical equipment from the deceased individual's body before the body is transferred to a funeral director in accordance with Section 651.401,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impose an administrative penalty against a health facility that violates this section. The penalty may not exceed $500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331.001, Health and Safety Code, as added by this Act, applies only to the body of an individual who dies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