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3983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municipality collecting a delinquent fine or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BAR ON COLLECTION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BAR ON COLLECTION OF DELINQUENT FINE OR FEE.  (a)  A municipality may not collect a fine or fee from a person that has been delinquent for more than five years unless the municipality has made a reasonable attempts to provided notice to the person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must provide notice under Subsection (a) by certified mail to the person's last known address.  If the municipality does not have a record of the person's address, the municipality must provide notice by any other means available to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109.001, Local Government Code, as added by this Act, applies only to a fine or fee assessed by a municipality on or after the effective date of this Act.  A fine or fee assessed before the effective date of this Act is governed by the law in effect on the date the fine or fee was assessed,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