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87R2234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3985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providing an alcoholic beverage to a minor;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Matthew's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106.06(a), Alcoholic Beverage Code, as amended by Chapters 437 (S.B. 55) and 934 (H.B. 1445), Acts of the 73rd Legislature, Regular Session, 1993, is reenacted and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 (b) [</w:t>
      </w:r>
      <w:r>
        <w:rPr>
          <w:strike/>
        </w:rPr>
        <w:t xml:space="preserve">of this section</w:t>
      </w:r>
      <w:r>
        <w:t xml:space="preserve">], a person commits an offense if </w:t>
      </w:r>
      <w:r>
        <w:rPr>
          <w:u w:val="single"/>
        </w:rPr>
        <w:t xml:space="preserve">the person</w:t>
      </w:r>
      <w:r>
        <w:t xml:space="preserve"> [</w:t>
      </w:r>
      <w:r>
        <w:rPr>
          <w:strike/>
        </w:rPr>
        <w:t xml:space="preserve">he</w:t>
      </w:r>
      <w:r>
        <w:t xml:space="preserve">] purchases an alcoholic beverage for or gives or with criminal negligence makes available an alcoholic beverage to a minor [</w:t>
      </w:r>
      <w:r>
        <w:rPr>
          <w:strike/>
        </w:rPr>
        <w:t xml:space="preserve">with criminal negligence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106.06, Alcoholic Beverage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an</w:t>
      </w:r>
      <w:r>
        <w:t xml:space="preserve"> [</w:t>
      </w:r>
      <w:r>
        <w:rPr>
          <w:strike/>
        </w:rPr>
        <w:t xml:space="preserve">An</w:t>
      </w:r>
      <w:r>
        <w:t xml:space="preserve">] offense under this section is a Class A misdemeanor.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offense under this section is a third degree felony if it is shown on the trial of the offense that the person purchased an alcoholic beverage for or gave or made available an alcoholic beverage to a minor who dies as a result of the consumption of the alcoholic beverage.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that law is continued in effect for that purpose.  For the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